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007C" w:rsidRPr="0057116C" w:rsidRDefault="0057116C" w:rsidP="005711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/>
          <w:b/>
          <w:iCs/>
          <w:color w:val="000000"/>
          <w:sz w:val="28"/>
        </w:rPr>
        <w:t>А</w:t>
      </w:r>
      <w:r w:rsidR="00920DD7" w:rsidRPr="0057116C">
        <w:rPr>
          <w:rFonts w:ascii="Times New Roman" w:eastAsia="Times New Roman" w:hAnsi="Times New Roman"/>
          <w:b/>
          <w:iCs/>
          <w:color w:val="000000"/>
          <w:sz w:val="28"/>
        </w:rPr>
        <w:t>налитическ</w:t>
      </w:r>
      <w:r>
        <w:rPr>
          <w:rFonts w:ascii="Times New Roman" w:eastAsia="Times New Roman" w:hAnsi="Times New Roman"/>
          <w:b/>
          <w:iCs/>
          <w:color w:val="000000"/>
          <w:sz w:val="28"/>
        </w:rPr>
        <w:t>ая справка</w:t>
      </w:r>
      <w:r w:rsidR="00920DD7" w:rsidRPr="0057116C">
        <w:rPr>
          <w:rFonts w:ascii="Times New Roman" w:eastAsia="Times New Roman" w:hAnsi="Times New Roman"/>
          <w:b/>
          <w:iCs/>
          <w:color w:val="000000"/>
          <w:sz w:val="28"/>
        </w:rPr>
        <w:t xml:space="preserve"> о расходах бюджета </w:t>
      </w:r>
      <w:r w:rsidR="002D118B">
        <w:rPr>
          <w:rFonts w:ascii="Times New Roman" w:eastAsia="Times New Roman" w:hAnsi="Times New Roman"/>
          <w:b/>
          <w:iCs/>
          <w:color w:val="000000"/>
          <w:sz w:val="28"/>
        </w:rPr>
        <w:br/>
        <w:t>Ханты-Мансийского автономного округа – Югры</w:t>
      </w:r>
      <w:r w:rsidR="00920DD7" w:rsidRPr="0057116C">
        <w:rPr>
          <w:rFonts w:ascii="Times New Roman" w:eastAsia="Times New Roman" w:hAnsi="Times New Roman"/>
          <w:b/>
          <w:iCs/>
          <w:color w:val="000000"/>
          <w:sz w:val="28"/>
        </w:rPr>
        <w:t xml:space="preserve">, </w:t>
      </w:r>
      <w:r w:rsidR="002D118B">
        <w:rPr>
          <w:rFonts w:ascii="Times New Roman" w:eastAsia="Times New Roman" w:hAnsi="Times New Roman"/>
          <w:b/>
          <w:iCs/>
          <w:color w:val="000000"/>
          <w:sz w:val="28"/>
        </w:rPr>
        <w:br/>
      </w:r>
      <w:r w:rsidR="00920DD7" w:rsidRPr="0057116C">
        <w:rPr>
          <w:rFonts w:ascii="Times New Roman" w:eastAsia="Times New Roman" w:hAnsi="Times New Roman"/>
          <w:b/>
          <w:iCs/>
          <w:color w:val="000000"/>
          <w:sz w:val="28"/>
        </w:rPr>
        <w:t>направленных на софинансирование расходных обязательств на осуществление выплат единого пособия, региональной социальной доплаты, а также расходах, связанных с выплатами участникам специальной вое</w:t>
      </w:r>
      <w:r>
        <w:rPr>
          <w:rFonts w:ascii="Times New Roman" w:eastAsia="Times New Roman" w:hAnsi="Times New Roman"/>
          <w:b/>
          <w:iCs/>
          <w:color w:val="000000"/>
          <w:sz w:val="28"/>
        </w:rPr>
        <w:t>нной операции и членам их семей</w:t>
      </w:r>
    </w:p>
    <w:p w:rsidR="0057116C" w:rsidRDefault="0057116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57116C" w:rsidRDefault="00920D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>В 2024 году объем расходов на реализацию мер социальной поддержки в сфере социаль</w:t>
      </w:r>
      <w:r w:rsidR="0057116C">
        <w:rPr>
          <w:rFonts w:ascii="Times New Roman" w:eastAsia="Times New Roman" w:hAnsi="Times New Roman"/>
          <w:color w:val="000000"/>
          <w:sz w:val="28"/>
          <w:szCs w:val="28"/>
        </w:rPr>
        <w:t xml:space="preserve">ного развития, предусмотренных </w:t>
      </w:r>
      <w:r>
        <w:rPr>
          <w:rFonts w:ascii="Times New Roman" w:eastAsia="Times New Roman" w:hAnsi="Times New Roman"/>
          <w:color w:val="000000"/>
          <w:sz w:val="28"/>
          <w:szCs w:val="28"/>
        </w:rPr>
        <w:t>государственной программой</w:t>
      </w:r>
      <w:r w:rsidR="0057116C">
        <w:rPr>
          <w:rFonts w:ascii="Times New Roman" w:eastAsia="Times New Roman" w:hAnsi="Times New Roman"/>
          <w:color w:val="000000"/>
          <w:sz w:val="28"/>
          <w:szCs w:val="28"/>
        </w:rPr>
        <w:t xml:space="preserve"> Ханты-Мансийского автономного </w:t>
      </w:r>
      <w:r>
        <w:rPr>
          <w:rFonts w:ascii="Times New Roman" w:eastAsia="Times New Roman" w:hAnsi="Times New Roman"/>
          <w:color w:val="000000"/>
          <w:sz w:val="28"/>
          <w:szCs w:val="28"/>
        </w:rPr>
        <w:t>округа – Югры «Социальное и демог</w:t>
      </w:r>
      <w:r w:rsidR="0057116C">
        <w:rPr>
          <w:rFonts w:ascii="Times New Roman" w:eastAsia="Times New Roman" w:hAnsi="Times New Roman"/>
          <w:color w:val="000000"/>
          <w:sz w:val="28"/>
          <w:szCs w:val="28"/>
        </w:rPr>
        <w:t xml:space="preserve">рафическое развитие», составил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57 760 542,2 тыс. руб. (с учетом </w:t>
      </w:r>
      <w:r w:rsidR="0057116C">
        <w:rPr>
          <w:rFonts w:ascii="Times New Roman" w:eastAsia="Times New Roman" w:hAnsi="Times New Roman"/>
          <w:color w:val="000000"/>
          <w:sz w:val="28"/>
          <w:szCs w:val="28"/>
        </w:rPr>
        <w:t xml:space="preserve">средств федерального бюджета - 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60 292 </w:t>
      </w:r>
      <w:r w:rsidR="0057116C">
        <w:rPr>
          <w:rFonts w:ascii="Times New Roman" w:eastAsia="Times New Roman" w:hAnsi="Times New Roman"/>
          <w:color w:val="000000"/>
          <w:sz w:val="28"/>
          <w:szCs w:val="28"/>
        </w:rPr>
        <w:t>1092 тыс. руб.</w:t>
      </w: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). </w:t>
      </w:r>
    </w:p>
    <w:p w:rsidR="00E1007C" w:rsidRDefault="00920D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color w:val="000000"/>
          <w:sz w:val="28"/>
          <w:szCs w:val="28"/>
        </w:rPr>
        <w:t xml:space="preserve">За 8 месяцев 2025 года расходы на указанные выше цели составили </w:t>
      </w:r>
      <w:r w:rsidR="0057116C">
        <w:rPr>
          <w:rFonts w:ascii="Times New Roman" w:eastAsia="Times New Roman" w:hAnsi="Times New Roman"/>
          <w:color w:val="000000"/>
          <w:sz w:val="28"/>
          <w:szCs w:val="28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</w:rPr>
        <w:t>42 580 405,2 тыс. руб. (с учетом средств федерального бюджета - 44 205 672,7 тыс. руб.).</w:t>
      </w:r>
    </w:p>
    <w:p w:rsidR="00F02E8F" w:rsidRDefault="00F02E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</w:p>
    <w:p w:rsidR="00E1007C" w:rsidRPr="00F02E8F" w:rsidRDefault="00920DD7" w:rsidP="0057116C">
      <w:pPr>
        <w:pStyle w:val="a3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</w:rPr>
      </w:pPr>
      <w:r w:rsidRPr="0057116C">
        <w:rPr>
          <w:rFonts w:ascii="Times New Roman" w:eastAsia="Times New Roman" w:hAnsi="Times New Roman"/>
          <w:b/>
          <w:i/>
          <w:color w:val="000000"/>
          <w:sz w:val="28"/>
        </w:rPr>
        <w:t xml:space="preserve">Расходы бюджета </w:t>
      </w:r>
      <w:r w:rsidR="002D118B">
        <w:rPr>
          <w:rFonts w:ascii="Times New Roman" w:eastAsia="Times New Roman" w:hAnsi="Times New Roman"/>
          <w:b/>
          <w:i/>
          <w:color w:val="000000"/>
          <w:sz w:val="28"/>
        </w:rPr>
        <w:t xml:space="preserve">Ханты-Мансийского автономного округа - Югры, направленные </w:t>
      </w:r>
      <w:r w:rsidRPr="0057116C">
        <w:rPr>
          <w:rFonts w:ascii="Times New Roman" w:eastAsia="Times New Roman" w:hAnsi="Times New Roman"/>
          <w:b/>
          <w:i/>
          <w:color w:val="000000"/>
          <w:sz w:val="28"/>
        </w:rPr>
        <w:t>на предоставление единого пособия.</w:t>
      </w:r>
    </w:p>
    <w:p w:rsidR="00F02E8F" w:rsidRPr="0057116C" w:rsidRDefault="00F02E8F" w:rsidP="00F02E8F">
      <w:pPr>
        <w:pStyle w:val="a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jc w:val="both"/>
        <w:rPr>
          <w:rFonts w:ascii="Times New Roman" w:eastAsia="Times New Roman" w:hAnsi="Times New Roman"/>
          <w:b/>
          <w:sz w:val="24"/>
        </w:rPr>
      </w:pPr>
    </w:p>
    <w:p w:rsidR="00E1007C" w:rsidRDefault="00920D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/>
          <w:color w:val="000000"/>
          <w:sz w:val="28"/>
        </w:rPr>
        <w:t>Между Фондом пенсионного и социального страхования Российской Федерации (далее – СФР) и Правительством автономного</w:t>
      </w:r>
      <w:r>
        <w:rPr>
          <w:rFonts w:ascii="Arial" w:eastAsia="Arial" w:hAnsi="Arial" w:cs="Arial"/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</w:rPr>
        <w:t>округа заключено Соглашение, предметом которого является</w:t>
      </w:r>
      <w:r>
        <w:rPr>
          <w:rFonts w:ascii="Arial" w:eastAsia="Arial" w:hAnsi="Arial" w:cs="Arial"/>
          <w:color w:val="000000"/>
        </w:rPr>
        <w:t xml:space="preserve"> </w:t>
      </w:r>
      <w:r w:rsidR="0057116C" w:rsidRPr="002D118B">
        <w:rPr>
          <w:rFonts w:ascii="Times New Roman" w:eastAsia="Times New Roman" w:hAnsi="Times New Roman"/>
          <w:b/>
          <w:color w:val="000000"/>
          <w:sz w:val="28"/>
        </w:rPr>
        <w:t>предоставление из бюджета </w:t>
      </w:r>
      <w:r w:rsidRPr="002D118B">
        <w:rPr>
          <w:rFonts w:ascii="Times New Roman" w:eastAsia="Times New Roman" w:hAnsi="Times New Roman"/>
          <w:b/>
          <w:color w:val="000000"/>
          <w:sz w:val="28"/>
        </w:rPr>
        <w:t>автономного</w:t>
      </w:r>
      <w:r w:rsidRPr="002D118B">
        <w:rPr>
          <w:rFonts w:ascii="Arial" w:eastAsia="Arial" w:hAnsi="Arial" w:cs="Arial"/>
          <w:b/>
          <w:color w:val="000000"/>
        </w:rPr>
        <w:t xml:space="preserve"> </w:t>
      </w:r>
      <w:r w:rsidRPr="002D118B">
        <w:rPr>
          <w:rFonts w:ascii="Times New Roman" w:eastAsia="Times New Roman" w:hAnsi="Times New Roman"/>
          <w:b/>
          <w:color w:val="000000"/>
          <w:sz w:val="28"/>
        </w:rPr>
        <w:t>округа бюджету СФР субвенции на осуществление выплаты единого</w:t>
      </w:r>
      <w:r w:rsidRPr="002D118B">
        <w:rPr>
          <w:rFonts w:ascii="Arial" w:eastAsia="Arial" w:hAnsi="Arial" w:cs="Arial"/>
          <w:b/>
          <w:color w:val="000000"/>
        </w:rPr>
        <w:t xml:space="preserve"> </w:t>
      </w:r>
      <w:r w:rsidRPr="002D118B">
        <w:rPr>
          <w:rFonts w:ascii="Times New Roman" w:eastAsia="Times New Roman" w:hAnsi="Times New Roman"/>
          <w:b/>
          <w:color w:val="000000"/>
          <w:sz w:val="28"/>
        </w:rPr>
        <w:t>пособия.</w:t>
      </w:r>
      <w:r>
        <w:rPr>
          <w:rFonts w:ascii="Times New Roman" w:eastAsia="Times New Roman" w:hAnsi="Times New Roman"/>
          <w:color w:val="000000"/>
          <w:sz w:val="28"/>
        </w:rPr>
        <w:t xml:space="preserve"> В 2025 году доли софинансирования: </w:t>
      </w:r>
      <w:r>
        <w:rPr>
          <w:rFonts w:ascii="Times New Roman" w:eastAsia="Times New Roman" w:hAnsi="Times New Roman"/>
          <w:color w:val="000000"/>
          <w:sz w:val="28"/>
        </w:rPr>
        <w:br/>
      </w:r>
      <w:r w:rsidRPr="002D118B">
        <w:rPr>
          <w:rFonts w:ascii="Times New Roman" w:eastAsia="Times New Roman" w:hAnsi="Times New Roman"/>
          <w:b/>
          <w:color w:val="000000"/>
          <w:sz w:val="28"/>
        </w:rPr>
        <w:t>56% – средства бюджета автономного</w:t>
      </w:r>
      <w:r w:rsidRPr="002D118B">
        <w:rPr>
          <w:rFonts w:ascii="Arial" w:eastAsia="Arial" w:hAnsi="Arial" w:cs="Arial"/>
          <w:b/>
          <w:color w:val="000000"/>
        </w:rPr>
        <w:t xml:space="preserve"> </w:t>
      </w:r>
      <w:r w:rsidRPr="002D118B">
        <w:rPr>
          <w:rFonts w:ascii="Times New Roman" w:eastAsia="Times New Roman" w:hAnsi="Times New Roman"/>
          <w:b/>
          <w:color w:val="000000"/>
          <w:sz w:val="28"/>
        </w:rPr>
        <w:t>округа,</w:t>
      </w:r>
      <w:r>
        <w:rPr>
          <w:rFonts w:ascii="Times New Roman" w:eastAsia="Times New Roman" w:hAnsi="Times New Roman"/>
          <w:color w:val="000000"/>
          <w:sz w:val="28"/>
        </w:rPr>
        <w:t xml:space="preserve"> 44% – средства федерального бюджета</w:t>
      </w:r>
      <w:r>
        <w:rPr>
          <w:rFonts w:ascii="Times New Roman" w:eastAsia="Times New Roman" w:hAnsi="Times New Roman"/>
          <w:color w:val="000000"/>
          <w:sz w:val="28"/>
          <w:vertAlign w:val="superscript"/>
        </w:rPr>
        <w:footnoteReference w:id="1"/>
      </w:r>
      <w:r>
        <w:rPr>
          <w:rFonts w:ascii="Times New Roman" w:eastAsia="Times New Roman" w:hAnsi="Times New Roman"/>
          <w:color w:val="000000"/>
          <w:sz w:val="28"/>
        </w:rPr>
        <w:t>.</w:t>
      </w:r>
    </w:p>
    <w:p w:rsidR="00E1007C" w:rsidRDefault="00920D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mes New Roman" w:eastAsia="Times New Roman" w:hAnsi="Times New Roman"/>
          <w:sz w:val="24"/>
        </w:rPr>
      </w:pPr>
      <w:r>
        <w:rPr>
          <w:rFonts w:ascii="Times New Roman" w:eastAsia="Times New Roman" w:hAnsi="Times New Roman"/>
          <w:i/>
          <w:color w:val="000000"/>
          <w:sz w:val="28"/>
        </w:rPr>
        <w:t> </w:t>
      </w:r>
      <w:r>
        <w:rPr>
          <w:rFonts w:ascii="Times New Roman" w:eastAsia="Times New Roman" w:hAnsi="Times New Roman"/>
          <w:color w:val="000000"/>
          <w:sz w:val="28"/>
        </w:rPr>
        <w:t xml:space="preserve">Численность получателей единого пособия в автономном округе </w:t>
      </w:r>
      <w:r>
        <w:rPr>
          <w:rFonts w:ascii="Times New Roman" w:eastAsia="Times New Roman" w:hAnsi="Times New Roman"/>
          <w:color w:val="000000"/>
          <w:sz w:val="28"/>
        </w:rPr>
        <w:br/>
        <w:t xml:space="preserve">  и объемы финансирования (по данным отчетов СФР):</w:t>
      </w:r>
    </w:p>
    <w:tbl>
      <w:tblPr>
        <w:tblStyle w:val="af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452"/>
        <w:gridCol w:w="2507"/>
        <w:gridCol w:w="1825"/>
        <w:gridCol w:w="1643"/>
        <w:gridCol w:w="1624"/>
      </w:tblGrid>
      <w:tr w:rsidR="00E1007C">
        <w:trPr>
          <w:trHeight w:val="253"/>
        </w:trPr>
        <w:tc>
          <w:tcPr>
            <w:tcW w:w="145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Период</w:t>
            </w:r>
          </w:p>
        </w:tc>
        <w:tc>
          <w:tcPr>
            <w:tcW w:w="2507" w:type="dxa"/>
            <w:vMerge w:val="restart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Численность получателей единого пособия</w:t>
            </w:r>
          </w:p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(дети + беременные женщины), чел.</w:t>
            </w:r>
          </w:p>
        </w:tc>
        <w:tc>
          <w:tcPr>
            <w:tcW w:w="5092" w:type="dxa"/>
            <w:gridSpan w:val="3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Израсходовано средств, тыс. руб.</w:t>
            </w:r>
          </w:p>
        </w:tc>
      </w:tr>
      <w:tr w:rsidR="00E1007C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1007C" w:rsidRDefault="00E1007C">
            <w:pPr>
              <w:spacing w:after="0" w:line="240" w:lineRule="auto"/>
            </w:pPr>
          </w:p>
        </w:tc>
        <w:tc>
          <w:tcPr>
            <w:tcW w:w="2507" w:type="dxa"/>
            <w:vMerge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</w:tcPr>
          <w:p w:rsidR="00E1007C" w:rsidRDefault="00E1007C">
            <w:pPr>
              <w:spacing w:after="0" w:line="240" w:lineRule="auto"/>
            </w:pPr>
          </w:p>
        </w:tc>
        <w:tc>
          <w:tcPr>
            <w:tcW w:w="18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из бюджета автономного округа, </w:t>
            </w:r>
            <w:r w:rsidR="002D118B">
              <w:rPr>
                <w:rFonts w:ascii="Times New Roman" w:eastAsia="Times New Roman" w:hAnsi="Times New Roman"/>
                <w:color w:val="000000"/>
                <w:sz w:val="24"/>
              </w:rP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тыс.</w:t>
            </w:r>
            <w:r w:rsidR="002D118B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руб.</w:t>
            </w:r>
          </w:p>
        </w:tc>
        <w:tc>
          <w:tcPr>
            <w:tcW w:w="16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из федерального бюджета, тыс. руб.</w:t>
            </w:r>
          </w:p>
        </w:tc>
        <w:tc>
          <w:tcPr>
            <w:tcW w:w="162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Всего:</w:t>
            </w:r>
          </w:p>
        </w:tc>
      </w:tr>
      <w:tr w:rsidR="00E1007C">
        <w:tc>
          <w:tcPr>
            <w:tcW w:w="14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2023 год </w:t>
            </w:r>
          </w:p>
        </w:tc>
        <w:tc>
          <w:tcPr>
            <w:tcW w:w="250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135 804</w:t>
            </w:r>
          </w:p>
        </w:tc>
        <w:tc>
          <w:tcPr>
            <w:tcW w:w="18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9 167 705,5</w:t>
            </w:r>
          </w:p>
        </w:tc>
        <w:tc>
          <w:tcPr>
            <w:tcW w:w="16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7 500 850,0</w:t>
            </w:r>
          </w:p>
        </w:tc>
        <w:tc>
          <w:tcPr>
            <w:tcW w:w="162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16 668 555,5</w:t>
            </w:r>
          </w:p>
        </w:tc>
      </w:tr>
      <w:tr w:rsidR="00E1007C">
        <w:tc>
          <w:tcPr>
            <w:tcW w:w="14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2024 год</w:t>
            </w:r>
          </w:p>
        </w:tc>
        <w:tc>
          <w:tcPr>
            <w:tcW w:w="250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192 211</w:t>
            </w:r>
          </w:p>
        </w:tc>
        <w:tc>
          <w:tcPr>
            <w:tcW w:w="18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17 707 641,8</w:t>
            </w:r>
          </w:p>
        </w:tc>
        <w:tc>
          <w:tcPr>
            <w:tcW w:w="16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14 488 070,6</w:t>
            </w:r>
          </w:p>
        </w:tc>
        <w:tc>
          <w:tcPr>
            <w:tcW w:w="162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32 195 712,4</w:t>
            </w:r>
          </w:p>
        </w:tc>
      </w:tr>
      <w:tr w:rsidR="00E1007C">
        <w:tc>
          <w:tcPr>
            <w:tcW w:w="14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 кв. 2025 года</w:t>
            </w:r>
          </w:p>
        </w:tc>
        <w:tc>
          <w:tcPr>
            <w:tcW w:w="250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155 993</w:t>
            </w:r>
          </w:p>
        </w:tc>
        <w:tc>
          <w:tcPr>
            <w:tcW w:w="18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3 117 844,8</w:t>
            </w:r>
          </w:p>
        </w:tc>
        <w:tc>
          <w:tcPr>
            <w:tcW w:w="16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2 449 735,2</w:t>
            </w:r>
          </w:p>
        </w:tc>
        <w:tc>
          <w:tcPr>
            <w:tcW w:w="162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5 567 580,0</w:t>
            </w:r>
          </w:p>
        </w:tc>
      </w:tr>
      <w:tr w:rsidR="00E1007C">
        <w:trPr>
          <w:trHeight w:val="276"/>
        </w:trPr>
        <w:tc>
          <w:tcPr>
            <w:tcW w:w="1452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 кв. 2025 года </w:t>
            </w:r>
          </w:p>
        </w:tc>
        <w:tc>
          <w:tcPr>
            <w:tcW w:w="2507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165 841</w:t>
            </w:r>
          </w:p>
        </w:tc>
        <w:tc>
          <w:tcPr>
            <w:tcW w:w="1825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7 369 103,1</w:t>
            </w:r>
          </w:p>
        </w:tc>
        <w:tc>
          <w:tcPr>
            <w:tcW w:w="1643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5 790 009,5</w:t>
            </w:r>
          </w:p>
        </w:tc>
        <w:tc>
          <w:tcPr>
            <w:tcW w:w="1624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center"/>
              <w:rPr>
                <w:rFonts w:ascii="Arial" w:eastAsia="Arial" w:hAnsi="Arial" w:cs="Arial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13 159 112,6</w:t>
            </w:r>
          </w:p>
        </w:tc>
      </w:tr>
    </w:tbl>
    <w:p w:rsidR="00E1007C" w:rsidRPr="00F02E8F" w:rsidRDefault="00920DD7" w:rsidP="0057116C">
      <w:pPr>
        <w:pStyle w:val="a3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jc w:val="both"/>
        <w:rPr>
          <w:rFonts w:ascii="Times New Roman" w:eastAsia="Times New Roman" w:hAnsi="Times New Roman"/>
          <w:b/>
          <w:sz w:val="24"/>
        </w:rPr>
      </w:pPr>
      <w:bookmarkStart w:id="0" w:name="_GoBack"/>
      <w:bookmarkEnd w:id="0"/>
      <w:r w:rsidRPr="0057116C">
        <w:rPr>
          <w:rFonts w:ascii="Times New Roman" w:eastAsia="Times New Roman" w:hAnsi="Times New Roman"/>
          <w:b/>
          <w:i/>
          <w:color w:val="000000"/>
          <w:sz w:val="28"/>
        </w:rPr>
        <w:lastRenderedPageBreak/>
        <w:t>Расходы бюджета автономного округа, связанные с передачей полномочий региональной социальной доплаты к пенсии Фонду пенсионного и социального страхования Российской Федерации.</w:t>
      </w:r>
    </w:p>
    <w:p w:rsidR="00F02E8F" w:rsidRPr="0057116C" w:rsidRDefault="00F02E8F" w:rsidP="00F02E8F">
      <w:pPr>
        <w:pStyle w:val="a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709"/>
        <w:jc w:val="both"/>
        <w:rPr>
          <w:rFonts w:ascii="Times New Roman" w:eastAsia="Times New Roman" w:hAnsi="Times New Roman"/>
          <w:b/>
          <w:sz w:val="24"/>
        </w:rPr>
      </w:pPr>
    </w:p>
    <w:p w:rsidR="00E1007C" w:rsidRDefault="00920D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 w:rsidRPr="002D118B">
        <w:rPr>
          <w:rFonts w:ascii="Times New Roman" w:eastAsia="Times New Roman" w:hAnsi="Times New Roman"/>
          <w:b/>
          <w:color w:val="000000"/>
          <w:sz w:val="28"/>
        </w:rPr>
        <w:t>С 1 января 2026 года</w:t>
      </w:r>
      <w:r>
        <w:rPr>
          <w:rFonts w:ascii="Times New Roman" w:eastAsia="Times New Roman" w:hAnsi="Times New Roman"/>
          <w:color w:val="000000"/>
          <w:sz w:val="28"/>
        </w:rPr>
        <w:t xml:space="preserve"> в связи с изменениями в федеральном законодательстве</w:t>
      </w:r>
      <w:r>
        <w:rPr>
          <w:rStyle w:val="afb"/>
        </w:rPr>
        <w:footnoteReference w:id="2"/>
      </w:r>
      <w:r>
        <w:rPr>
          <w:rFonts w:ascii="Times New Roman" w:eastAsia="Times New Roman" w:hAnsi="Times New Roman"/>
          <w:color w:val="000000"/>
          <w:sz w:val="28"/>
        </w:rPr>
        <w:t xml:space="preserve">, регулирующем предоставление региональной социальной доплаты к пенсии (далее – РСДП), полномочия региональных органов социальной защиты населения по осуществлению данной меры социальной поддержки передаются в Социальный Фонд России. </w:t>
      </w:r>
    </w:p>
    <w:p w:rsidR="00E1007C" w:rsidRDefault="00920D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</w:pPr>
      <w:r>
        <w:rPr>
          <w:rFonts w:ascii="Times New Roman" w:eastAsia="Times New Roman" w:hAnsi="Times New Roman"/>
          <w:color w:val="000000"/>
          <w:sz w:val="28"/>
        </w:rPr>
        <w:t xml:space="preserve">По состоянию на 31.12.2024 получателями РСД являлись </w:t>
      </w:r>
      <w:r>
        <w:rPr>
          <w:rFonts w:ascii="Times New Roman" w:eastAsia="Times New Roman" w:hAnsi="Times New Roman"/>
          <w:color w:val="000000"/>
          <w:spacing w:val="-9"/>
          <w:sz w:val="28"/>
        </w:rPr>
        <w:t xml:space="preserve">44 640 человек (средний размер выплаты составил 3 827,0 рублей), на 01.08.2025 - </w:t>
      </w:r>
      <w:r>
        <w:rPr>
          <w:rFonts w:ascii="Times New Roman" w:eastAsia="Times New Roman" w:hAnsi="Times New Roman"/>
          <w:color w:val="000000"/>
          <w:spacing w:val="-9"/>
          <w:sz w:val="28"/>
        </w:rPr>
        <w:br/>
        <w:t>41 441 человек</w:t>
      </w:r>
      <w:r>
        <w:rPr>
          <w:rFonts w:ascii="Times New Roman" w:eastAsia="Times New Roman" w:hAnsi="Times New Roman"/>
          <w:color w:val="000000"/>
          <w:sz w:val="28"/>
        </w:rPr>
        <w:t xml:space="preserve"> (средний размер выплаты - 3 600,0 рублей). Среднее количество назначений в месяц - 418.</w:t>
      </w:r>
    </w:p>
    <w:p w:rsidR="00E1007C" w:rsidRDefault="00920DD7">
      <w:pPr>
        <w:pStyle w:val="af7"/>
        <w:spacing w:line="283" w:lineRule="atLeast"/>
        <w:ind w:firstLine="720"/>
        <w:jc w:val="both"/>
        <w:rPr>
          <w:rFonts w:ascii="Times New Roman" w:hAnsi="Times New Roman"/>
          <w:i/>
          <w:iCs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8"/>
        </w:rPr>
        <w:t xml:space="preserve">Финансовое обеспечение на реализацию данной выплаты </w:t>
      </w:r>
      <w:r>
        <w:rPr>
          <w:rFonts w:ascii="Times New Roman" w:hAnsi="Times New Roman"/>
          <w:color w:val="000000"/>
          <w:sz w:val="28"/>
          <w:highlight w:val="white"/>
        </w:rPr>
        <w:t>осуществляется за счет средств федерального и регионального бюджето</w:t>
      </w:r>
      <w:r w:rsidR="0057116C">
        <w:rPr>
          <w:rFonts w:ascii="Times New Roman" w:hAnsi="Times New Roman"/>
          <w:color w:val="000000"/>
          <w:sz w:val="28"/>
          <w:highlight w:val="white"/>
        </w:rPr>
        <w:t xml:space="preserve">в.  Дополнительным соглашением </w:t>
      </w:r>
      <w:r>
        <w:rPr>
          <w:rFonts w:ascii="Times New Roman" w:hAnsi="Times New Roman"/>
          <w:color w:val="000000"/>
          <w:sz w:val="28"/>
          <w:highlight w:val="white"/>
        </w:rPr>
        <w:t xml:space="preserve">к Соглашению о предоставлении субсидий из федерального бюджета бюджету субъектов Российской Федерации </w:t>
      </w:r>
      <w:r>
        <w:rPr>
          <w:rFonts w:ascii="Times New Roman" w:hAnsi="Times New Roman"/>
          <w:color w:val="000000"/>
          <w:sz w:val="28"/>
          <w:highlight w:val="white"/>
        </w:rPr>
        <w:br/>
        <w:t>от 25.12.2023 № 149-09-2024-051 на 2025 год предусмотрены денежные средства на общую сумму 1 929 545,3 тыс. рублей, в том числе средства федерального бюджета – 848 999,9 тыс. рублей, средства бюджета автономного округа – 1 080 545,4 тыс. рублей</w:t>
      </w:r>
      <w:r>
        <w:rPr>
          <w:rFonts w:ascii="Times New Roman" w:hAnsi="Times New Roman"/>
          <w:i/>
          <w:iCs/>
          <w:color w:val="000000"/>
          <w:sz w:val="24"/>
          <w:szCs w:val="24"/>
        </w:rPr>
        <w:t>.</w:t>
      </w:r>
    </w:p>
    <w:p w:rsidR="00E1007C" w:rsidRDefault="00920DD7">
      <w:pPr>
        <w:pStyle w:val="af7"/>
        <w:spacing w:line="283" w:lineRule="atLeast"/>
        <w:ind w:firstLine="720"/>
        <w:jc w:val="both"/>
        <w:rPr>
          <w:rFonts w:ascii="Times New Roman" w:hAnsi="Times New Roman"/>
          <w:bCs/>
          <w:color w:val="000000" w:themeColor="text1"/>
          <w:sz w:val="28"/>
          <w:szCs w:val="28"/>
        </w:rPr>
      </w:pPr>
      <w:r>
        <w:rPr>
          <w:rFonts w:ascii="Times New Roman" w:hAnsi="Times New Roman"/>
          <w:iCs/>
          <w:color w:val="000000"/>
          <w:sz w:val="28"/>
          <w:szCs w:val="28"/>
        </w:rPr>
        <w:t>Кроме того, уровень софинансирования для субъектов определяется Правительством РФ</w:t>
      </w:r>
      <w:r>
        <w:rPr>
          <w:rStyle w:val="afb"/>
          <w:rFonts w:ascii="Times New Roman" w:hAnsi="Times New Roman"/>
          <w:color w:val="000000"/>
          <w:sz w:val="28"/>
          <w:szCs w:val="28"/>
        </w:rPr>
        <w:footnoteReference w:id="3"/>
      </w:r>
      <w:r>
        <w:rPr>
          <w:rFonts w:ascii="Times New Roman" w:hAnsi="Times New Roman"/>
          <w:iCs/>
          <w:color w:val="000000"/>
          <w:sz w:val="28"/>
          <w:szCs w:val="28"/>
        </w:rPr>
        <w:t xml:space="preserve">, для автономного округа </w:t>
      </w:r>
      <w:r w:rsidRPr="002D118B">
        <w:rPr>
          <w:rFonts w:ascii="Times New Roman" w:hAnsi="Times New Roman"/>
          <w:b/>
          <w:iCs/>
          <w:color w:val="000000"/>
          <w:sz w:val="28"/>
          <w:szCs w:val="28"/>
        </w:rPr>
        <w:t>имеет тенденцию ежегодно</w:t>
      </w:r>
      <w:r w:rsidR="0057116C" w:rsidRPr="002D118B">
        <w:rPr>
          <w:rFonts w:ascii="Times New Roman" w:hAnsi="Times New Roman"/>
          <w:b/>
          <w:iCs/>
          <w:color w:val="000000"/>
          <w:sz w:val="28"/>
          <w:szCs w:val="28"/>
        </w:rPr>
        <w:t>го увеличения:</w:t>
      </w:r>
      <w:r w:rsidR="0057116C">
        <w:rPr>
          <w:rFonts w:ascii="Times New Roman" w:hAnsi="Times New Roman"/>
          <w:iCs/>
          <w:color w:val="000000"/>
          <w:sz w:val="28"/>
          <w:szCs w:val="28"/>
        </w:rPr>
        <w:t xml:space="preserve"> 2024 год - 55%, </w:t>
      </w:r>
      <w:r>
        <w:rPr>
          <w:rFonts w:ascii="Times New Roman" w:hAnsi="Times New Roman"/>
          <w:iCs/>
          <w:color w:val="000000"/>
          <w:sz w:val="28"/>
          <w:szCs w:val="28"/>
        </w:rPr>
        <w:t>2025 год - 56%, 2026 год - 61%, 2027 год - 65%, 2028 год - 69%.</w:t>
      </w:r>
    </w:p>
    <w:p w:rsidR="00E1007C" w:rsidRDefault="00E100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20"/>
        <w:jc w:val="both"/>
        <w:rPr>
          <w:rFonts w:ascii="Times New Roman" w:eastAsia="Times New Roman" w:hAnsi="Times New Roman"/>
          <w:i/>
          <w:color w:val="000000"/>
          <w:sz w:val="28"/>
        </w:rPr>
      </w:pPr>
    </w:p>
    <w:p w:rsidR="00E1007C" w:rsidRDefault="00920D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20"/>
        <w:jc w:val="both"/>
      </w:pPr>
      <w:r>
        <w:rPr>
          <w:rFonts w:ascii="Times New Roman" w:eastAsia="Times New Roman" w:hAnsi="Times New Roman"/>
          <w:i/>
          <w:color w:val="000000"/>
          <w:sz w:val="28"/>
        </w:rPr>
        <w:t>Справочно:</w:t>
      </w:r>
    </w:p>
    <w:tbl>
      <w:tblPr>
        <w:tblStyle w:val="af6"/>
        <w:tblW w:w="0" w:type="auto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805"/>
        <w:gridCol w:w="2544"/>
        <w:gridCol w:w="1917"/>
        <w:gridCol w:w="3069"/>
      </w:tblGrid>
      <w:tr w:rsidR="00E1007C">
        <w:trPr>
          <w:trHeight w:val="279"/>
        </w:trPr>
        <w:tc>
          <w:tcPr>
            <w:tcW w:w="435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2024 год</w:t>
            </w:r>
          </w:p>
        </w:tc>
        <w:tc>
          <w:tcPr>
            <w:tcW w:w="4998" w:type="dxa"/>
            <w:gridSpan w:val="2"/>
            <w:tcBorders>
              <w:top w:val="single" w:sz="8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2025 год (по состоянию на 01.09.2025)</w:t>
            </w:r>
          </w:p>
        </w:tc>
      </w:tr>
      <w:tr w:rsidR="00E1007C">
        <w:tc>
          <w:tcPr>
            <w:tcW w:w="180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Численность получателей РСДП, чел.</w:t>
            </w:r>
          </w:p>
        </w:tc>
        <w:tc>
          <w:tcPr>
            <w:tcW w:w="25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Объем средств, тыс.руб. (средства бюджета автономного округа)</w:t>
            </w: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Численность получателей РСДП, чел.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Объем средств, тыс.руб.</w:t>
            </w:r>
          </w:p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(средства бюджета автономного округа)</w:t>
            </w:r>
          </w:p>
        </w:tc>
      </w:tr>
      <w:tr w:rsidR="00E1007C">
        <w:trPr>
          <w:trHeight w:val="276"/>
        </w:trPr>
        <w:tc>
          <w:tcPr>
            <w:tcW w:w="1807" w:type="dxa"/>
            <w:tcBorders>
              <w:top w:val="non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44 640</w:t>
            </w:r>
          </w:p>
        </w:tc>
        <w:tc>
          <w:tcPr>
            <w:tcW w:w="255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1 018 498,6</w:t>
            </w:r>
          </w:p>
        </w:tc>
        <w:tc>
          <w:tcPr>
            <w:tcW w:w="191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41 911</w:t>
            </w:r>
          </w:p>
        </w:tc>
        <w:tc>
          <w:tcPr>
            <w:tcW w:w="3079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 666 696,5</w:t>
            </w:r>
          </w:p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 (план на 2025год</w:t>
            </w:r>
          </w:p>
          <w:p w:rsidR="00E1007C" w:rsidRDefault="00920DD7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240" w:lineRule="auto"/>
              <w:jc w:val="center"/>
            </w:pPr>
            <w:r>
              <w:rPr>
                <w:rFonts w:ascii="Times New Roman" w:eastAsia="Times New Roman" w:hAnsi="Times New Roman"/>
                <w:i/>
                <w:color w:val="000000"/>
                <w:sz w:val="24"/>
              </w:rPr>
              <w:t> 1 080 545,4)</w:t>
            </w:r>
          </w:p>
        </w:tc>
      </w:tr>
    </w:tbl>
    <w:p w:rsidR="00E1007C" w:rsidRDefault="00920D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> </w:t>
      </w:r>
    </w:p>
    <w:p w:rsidR="00F02E8F" w:rsidRDefault="00F02E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F02E8F" w:rsidRDefault="00F02E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</w:rPr>
      </w:pPr>
    </w:p>
    <w:p w:rsidR="00F02E8F" w:rsidRDefault="00F02E8F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</w:pPr>
    </w:p>
    <w:p w:rsidR="00E1007C" w:rsidRPr="00F02E8F" w:rsidRDefault="00920DD7" w:rsidP="00F02E8F">
      <w:pPr>
        <w:pStyle w:val="a3"/>
        <w:numPr>
          <w:ilvl w:val="0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0" w:firstLine="709"/>
        <w:jc w:val="both"/>
        <w:rPr>
          <w:rFonts w:ascii="Times New Roman" w:eastAsia="Times New Roman" w:hAnsi="Times New Roman"/>
          <w:b/>
          <w:i/>
          <w:color w:val="000000"/>
          <w:sz w:val="28"/>
        </w:rPr>
      </w:pPr>
      <w:r w:rsidRPr="00F02E8F">
        <w:rPr>
          <w:rFonts w:ascii="Times New Roman" w:eastAsia="Times New Roman" w:hAnsi="Times New Roman"/>
          <w:b/>
          <w:i/>
          <w:color w:val="000000"/>
          <w:sz w:val="28"/>
        </w:rPr>
        <w:lastRenderedPageBreak/>
        <w:t>Расходы бюджета автоном</w:t>
      </w:r>
      <w:r w:rsidR="002D118B" w:rsidRPr="00F02E8F">
        <w:rPr>
          <w:rFonts w:ascii="Times New Roman" w:eastAsia="Times New Roman" w:hAnsi="Times New Roman"/>
          <w:b/>
          <w:i/>
          <w:color w:val="000000"/>
          <w:sz w:val="28"/>
        </w:rPr>
        <w:t>ного округа, связанные с выплатами</w:t>
      </w:r>
      <w:r w:rsidRPr="00F02E8F">
        <w:rPr>
          <w:rFonts w:ascii="Times New Roman" w:eastAsia="Times New Roman" w:hAnsi="Times New Roman"/>
          <w:b/>
          <w:i/>
          <w:color w:val="000000"/>
          <w:sz w:val="28"/>
        </w:rPr>
        <w:t xml:space="preserve"> участникам СВО и членам их семей.</w:t>
      </w:r>
    </w:p>
    <w:p w:rsidR="00F02E8F" w:rsidRPr="00F02E8F" w:rsidRDefault="00F02E8F" w:rsidP="00F02E8F">
      <w:pPr>
        <w:pStyle w:val="a3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left="1069"/>
        <w:jc w:val="both"/>
        <w:rPr>
          <w:b/>
        </w:rPr>
      </w:pPr>
    </w:p>
    <w:p w:rsidR="00E1007C" w:rsidRDefault="00920D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Arial" w:eastAsia="Arial" w:hAnsi="Arial" w:cs="Arial"/>
        </w:rPr>
      </w:pPr>
      <w:r>
        <w:rPr>
          <w:rFonts w:ascii="Times New Roman" w:eastAsia="Times New Roman" w:hAnsi="Times New Roman"/>
          <w:color w:val="000000"/>
          <w:sz w:val="28"/>
          <w:highlight w:val="white"/>
        </w:rPr>
        <w:t xml:space="preserve">Меры социальной поддержки участников специальной военной операции и членов их семей регулируются </w:t>
      </w:r>
      <w:r>
        <w:rPr>
          <w:rFonts w:ascii="Times New Roman" w:eastAsia="Times New Roman" w:hAnsi="Times New Roman"/>
          <w:color w:val="000000"/>
          <w:spacing w:val="-4"/>
          <w:sz w:val="28"/>
          <w:highlight w:val="white"/>
        </w:rPr>
        <w:t xml:space="preserve">постановлением Правительства автономного округа от 10 февраля 2023 года № 51-п «О едином перечне прав, льгот, социальных гарантий и компенсаций в Ханты-Мансийском автономном округе </w:t>
      </w:r>
      <w:r>
        <w:rPr>
          <w:rFonts w:ascii="Times New Roman" w:eastAsia="Times New Roman" w:hAnsi="Times New Roman"/>
          <w:color w:val="000000"/>
          <w:sz w:val="28"/>
          <w:highlight w:val="white"/>
        </w:rPr>
        <w:t>–</w:t>
      </w:r>
      <w:r>
        <w:rPr>
          <w:rFonts w:ascii="Times New Roman" w:eastAsia="Times New Roman" w:hAnsi="Times New Roman"/>
          <w:color w:val="000000"/>
          <w:spacing w:val="-4"/>
          <w:sz w:val="28"/>
          <w:highlight w:val="white"/>
        </w:rPr>
        <w:t xml:space="preserve"> Югре гражданам, принимающим участие в специальной военной операции, и членам их семей». </w:t>
      </w:r>
      <w:r>
        <w:rPr>
          <w:rFonts w:ascii="Times New Roman" w:eastAsia="Times New Roman" w:hAnsi="Times New Roman"/>
          <w:color w:val="000000"/>
          <w:sz w:val="28"/>
          <w:highlight w:val="white"/>
        </w:rPr>
        <w:t xml:space="preserve">  </w:t>
      </w:r>
    </w:p>
    <w:p w:rsidR="00E1007C" w:rsidRPr="002D118B" w:rsidRDefault="00920DD7" w:rsidP="002D118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9"/>
        <w:jc w:val="both"/>
        <w:rPr>
          <w:rFonts w:ascii="Times New Roman" w:eastAsia="Times New Roman" w:hAnsi="Times New Roman"/>
          <w:color w:val="000000"/>
          <w:sz w:val="28"/>
        </w:rPr>
      </w:pPr>
      <w:r>
        <w:rPr>
          <w:rFonts w:ascii="Times New Roman" w:eastAsia="Times New Roman" w:hAnsi="Times New Roman"/>
          <w:color w:val="000000"/>
          <w:sz w:val="28"/>
        </w:rPr>
        <w:t xml:space="preserve">Размер финансовых затрат из бюджета автономного округа </w:t>
      </w:r>
      <w:r>
        <w:rPr>
          <w:rFonts w:ascii="Times New Roman" w:eastAsia="Times New Roman" w:hAnsi="Times New Roman"/>
          <w:color w:val="000000"/>
          <w:sz w:val="28"/>
        </w:rPr>
        <w:br/>
        <w:t xml:space="preserve">на реализацию принятых Правительством автономного округа решений </w:t>
      </w:r>
      <w:r>
        <w:rPr>
          <w:rFonts w:ascii="Times New Roman" w:eastAsia="Times New Roman" w:hAnsi="Times New Roman"/>
          <w:color w:val="000000"/>
          <w:sz w:val="28"/>
        </w:rPr>
        <w:br/>
        <w:t>о поддержке участников специальной военной операции и их семей составил:</w:t>
      </w:r>
      <w:r w:rsidR="002D118B">
        <w:rPr>
          <w:rFonts w:ascii="Times New Roman" w:eastAsia="Times New Roman" w:hAnsi="Times New Roman"/>
          <w:color w:val="000000"/>
          <w:sz w:val="28"/>
        </w:rPr>
        <w:t xml:space="preserve"> в 2022 году – 1,4 млрд рублей, </w:t>
      </w:r>
      <w:r>
        <w:rPr>
          <w:rFonts w:ascii="Times New Roman" w:eastAsia="Times New Roman" w:hAnsi="Times New Roman"/>
          <w:color w:val="000000"/>
          <w:sz w:val="28"/>
        </w:rPr>
        <w:t xml:space="preserve">в 2023 году </w:t>
      </w:r>
      <w:r w:rsidR="002D118B">
        <w:rPr>
          <w:rFonts w:ascii="Times New Roman" w:eastAsia="Times New Roman" w:hAnsi="Times New Roman"/>
          <w:color w:val="000000"/>
          <w:sz w:val="28"/>
        </w:rPr>
        <w:t xml:space="preserve">– 8,2 млрд рублей, </w:t>
      </w:r>
      <w:r>
        <w:rPr>
          <w:rFonts w:ascii="Times New Roman" w:eastAsia="Times New Roman" w:hAnsi="Times New Roman"/>
          <w:color w:val="000000"/>
          <w:sz w:val="28"/>
        </w:rPr>
        <w:t>в 2024 году – 22,7 млрд рублей, за текущий период 2025 года - 20,1 млрд.</w:t>
      </w:r>
    </w:p>
    <w:p w:rsidR="00E1007C" w:rsidRDefault="00E1007C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/>
        <w:ind w:firstLine="708"/>
        <w:jc w:val="both"/>
        <w:rPr>
          <w:rFonts w:ascii="Times New Roman" w:eastAsia="Times New Roman" w:hAnsi="Times New Roman"/>
          <w:bCs/>
          <w:i/>
          <w:color w:val="000000"/>
          <w:sz w:val="28"/>
          <w:szCs w:val="28"/>
        </w:rPr>
      </w:pPr>
    </w:p>
    <w:sectPr w:rsidR="00E1007C" w:rsidSect="002D118B">
      <w:headerReference w:type="default" r:id="rId7"/>
      <w:pgSz w:w="11906" w:h="16838"/>
      <w:pgMar w:top="567" w:right="850" w:bottom="1134" w:left="1701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36ED" w:rsidRDefault="00DE36ED">
      <w:pPr>
        <w:spacing w:after="0" w:line="240" w:lineRule="auto"/>
      </w:pPr>
      <w:r>
        <w:separator/>
      </w:r>
    </w:p>
  </w:endnote>
  <w:endnote w:type="continuationSeparator" w:id="0">
    <w:p w:rsidR="00DE36ED" w:rsidRDefault="00DE3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36ED" w:rsidRDefault="00DE36ED">
      <w:pPr>
        <w:spacing w:after="0" w:line="240" w:lineRule="auto"/>
      </w:pPr>
      <w:r>
        <w:separator/>
      </w:r>
    </w:p>
  </w:footnote>
  <w:footnote w:type="continuationSeparator" w:id="0">
    <w:p w:rsidR="00DE36ED" w:rsidRDefault="00DE36ED">
      <w:pPr>
        <w:spacing w:after="0" w:line="240" w:lineRule="auto"/>
      </w:pPr>
      <w:r>
        <w:continuationSeparator/>
      </w:r>
    </w:p>
  </w:footnote>
  <w:footnote w:id="1">
    <w:p w:rsidR="00E1007C" w:rsidRDefault="00920DD7">
      <w:pPr>
        <w:pStyle w:val="af9"/>
        <w:jc w:val="both"/>
        <w:rPr>
          <w:rFonts w:ascii="Times New Roman" w:hAnsi="Times New Roman"/>
        </w:rPr>
      </w:pPr>
      <w:r>
        <w:rPr>
          <w:rStyle w:val="af5"/>
        </w:rPr>
        <w:footnoteRef/>
      </w:r>
      <w:r>
        <w:t xml:space="preserve"> </w:t>
      </w:r>
      <w:r>
        <w:rPr>
          <w:rFonts w:ascii="Times New Roman" w:eastAsia="Times New Roman" w:hAnsi="Times New Roman"/>
          <w:color w:val="000000"/>
        </w:rPr>
        <w:t xml:space="preserve"> размер софинансирования в 2024 году: 55% – средства бюджета Ханты-Мансийского автономного округа – Югры, 45% – средства федерального бюджета;</w:t>
      </w:r>
    </w:p>
  </w:footnote>
  <w:footnote w:id="2">
    <w:p w:rsidR="00E1007C" w:rsidRDefault="00920DD7">
      <w:pPr>
        <w:pStyle w:val="af9"/>
        <w:jc w:val="both"/>
        <w:rPr>
          <w:rFonts w:ascii="Times New Roman" w:hAnsi="Times New Roman"/>
        </w:rPr>
      </w:pPr>
      <w:r>
        <w:rPr>
          <w:rStyle w:val="af5"/>
          <w:rFonts w:ascii="Times New Roman" w:eastAsia="Times New Roman" w:hAnsi="Times New Roman"/>
        </w:rPr>
        <w:footnoteRef/>
      </w:r>
      <w:r>
        <w:rPr>
          <w:rFonts w:ascii="Times New Roman" w:eastAsia="Times New Roman" w:hAnsi="Times New Roman"/>
        </w:rPr>
        <w:t xml:space="preserve"> </w:t>
      </w:r>
      <w:r>
        <w:rPr>
          <w:rFonts w:ascii="Times New Roman" w:eastAsia="Times New Roman" w:hAnsi="Times New Roman"/>
          <w:color w:val="000000"/>
        </w:rPr>
        <w:t>Федеральный Закон № 39-ФЗ</w:t>
      </w:r>
      <w:r>
        <w:rPr>
          <w:rFonts w:ascii="Times New Roman" w:eastAsia="Times New Roman" w:hAnsi="Times New Roman"/>
          <w:i/>
          <w:color w:val="000000"/>
        </w:rPr>
        <w:t xml:space="preserve"> </w:t>
      </w:r>
      <w:r>
        <w:rPr>
          <w:rFonts w:ascii="Times New Roman" w:eastAsia="Times New Roman" w:hAnsi="Times New Roman"/>
          <w:color w:val="000000"/>
        </w:rPr>
        <w:t xml:space="preserve">«О внесении изменений в статью 12.1 Федерального закона </w:t>
      </w:r>
      <w:r>
        <w:rPr>
          <w:rFonts w:ascii="Times New Roman" w:eastAsia="Times New Roman" w:hAnsi="Times New Roman"/>
          <w:color w:val="000000"/>
        </w:rPr>
        <w:br/>
        <w:t>«О государственной социальной помощи»;</w:t>
      </w:r>
    </w:p>
  </w:footnote>
  <w:footnote w:id="3">
    <w:p w:rsidR="00E1007C" w:rsidRDefault="00920DD7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88" w:lineRule="atLeast"/>
        <w:jc w:val="both"/>
      </w:pPr>
      <w:r>
        <w:rPr>
          <w:rStyle w:val="afb"/>
        </w:rPr>
        <w:footnoteRef/>
      </w:r>
      <w:r w:rsidR="002D118B">
        <w:rPr>
          <w:rFonts w:ascii="Times New Roman" w:eastAsia="Times New Roman" w:hAnsi="Times New Roman"/>
          <w:color w:val="000000"/>
          <w:sz w:val="20"/>
          <w:szCs w:val="20"/>
        </w:rPr>
        <w:t xml:space="preserve"> </w:t>
      </w:r>
      <w:r>
        <w:rPr>
          <w:rFonts w:ascii="Times New Roman" w:eastAsia="Times New Roman" w:hAnsi="Times New Roman"/>
          <w:color w:val="000000"/>
          <w:sz w:val="20"/>
          <w:szCs w:val="20"/>
        </w:rPr>
        <w:t>Распоряжение Правительства РФ от 25.07.2025 N 2006-р;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007C" w:rsidRDefault="00920DD7">
    <w:pPr>
      <w:pStyle w:val="aa"/>
      <w:jc w:val="center"/>
    </w:pPr>
    <w:r>
      <w:fldChar w:fldCharType="begin"/>
    </w:r>
    <w:r>
      <w:instrText>PAGE \* MERGEFORMAT</w:instrText>
    </w:r>
    <w:r>
      <w:fldChar w:fldCharType="separate"/>
    </w:r>
    <w:r w:rsidR="00E670D2">
      <w:rPr>
        <w:noProof/>
      </w:rPr>
      <w:t>3</w:t>
    </w:r>
    <w:r>
      <w:fldChar w:fldCharType="end"/>
    </w:r>
  </w:p>
  <w:p w:rsidR="00E1007C" w:rsidRDefault="00E1007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2A33E4"/>
    <w:multiLevelType w:val="hybridMultilevel"/>
    <w:tmpl w:val="4766791A"/>
    <w:lvl w:ilvl="0" w:tplc="A14EC272">
      <w:start w:val="1"/>
      <w:numFmt w:val="decimal"/>
      <w:lvlText w:val="%1."/>
      <w:lvlJc w:val="left"/>
      <w:pPr>
        <w:ind w:left="1069" w:hanging="360"/>
      </w:pPr>
      <w:rPr>
        <w:rFonts w:hint="default"/>
        <w:i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007C"/>
    <w:rsid w:val="002D118B"/>
    <w:rsid w:val="0057116C"/>
    <w:rsid w:val="00920DD7"/>
    <w:rsid w:val="00DE36ED"/>
    <w:rsid w:val="00E1007C"/>
    <w:rsid w:val="00E11AAD"/>
    <w:rsid w:val="00E670D2"/>
    <w:rsid w:val="00F0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9EF6F24-0D3E-4D6C-819D-87AF1DE627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5B9BD5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5B9BD5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CCCEA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CCCEA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5AFDD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auto"/>
          <w:left w:val="single" w:sz="4" w:space="0" w:color="95AFDD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5B9BD5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auto"/>
          <w:left w:val="single" w:sz="4" w:space="0" w:color="5B9BD5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8DA9DB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8DA9DB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Pr>
      <w:sz w:val="18"/>
    </w:rPr>
  </w:style>
  <w:style w:type="paragraph" w:styleId="af1">
    <w:name w:val="endnote text"/>
    <w:basedOn w:val="a"/>
    <w:link w:val="af2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2">
    <w:name w:val="Текст концевой сноски Знак"/>
    <w:link w:val="af1"/>
    <w:uiPriority w:val="99"/>
    <w:rPr>
      <w:sz w:val="20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  <w:pPr>
      <w:spacing w:after="0"/>
    </w:pPr>
  </w:style>
  <w:style w:type="character" w:styleId="af5">
    <w:name w:val="endnote reference"/>
    <w:basedOn w:val="a0"/>
    <w:uiPriority w:val="99"/>
    <w:semiHidden/>
    <w:unhideWhenUsed/>
    <w:rPr>
      <w:vertAlign w:val="superscript"/>
    </w:rPr>
  </w:style>
  <w:style w:type="table" w:styleId="af6">
    <w:name w:val="Table Grid"/>
    <w:basedOn w:val="a1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No Spacing"/>
    <w:link w:val="af8"/>
    <w:uiPriority w:val="1"/>
    <w:qFormat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9">
    <w:name w:val="footnote text"/>
    <w:basedOn w:val="a"/>
    <w:link w:val="afa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fa">
    <w:name w:val="Текст сноски Знак"/>
    <w:basedOn w:val="a0"/>
    <w:link w:val="af9"/>
    <w:uiPriority w:val="99"/>
    <w:rPr>
      <w:rFonts w:ascii="Calibri" w:eastAsia="Calibri" w:hAnsi="Calibri" w:cs="Times New Roman"/>
      <w:sz w:val="20"/>
      <w:szCs w:val="20"/>
    </w:rPr>
  </w:style>
  <w:style w:type="character" w:styleId="afb">
    <w:name w:val="footnote reference"/>
    <w:basedOn w:val="a0"/>
    <w:uiPriority w:val="99"/>
    <w:unhideWhenUsed/>
    <w:rPr>
      <w:vertAlign w:val="superscript"/>
    </w:rPr>
  </w:style>
  <w:style w:type="character" w:customStyle="1" w:styleId="af8">
    <w:name w:val="Без интервала Знак"/>
    <w:link w:val="af7"/>
    <w:uiPriority w:val="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660</Words>
  <Characters>3768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Бережная Альбина Ринатовна</dc:creator>
  <cp:keywords/>
  <dc:description/>
  <cp:lastModifiedBy>Склярова Марина Сергеевна</cp:lastModifiedBy>
  <cp:revision>2</cp:revision>
  <dcterms:created xsi:type="dcterms:W3CDTF">2025-09-23T13:42:00Z</dcterms:created>
  <dcterms:modified xsi:type="dcterms:W3CDTF">2025-09-23T13:42:00Z</dcterms:modified>
</cp:coreProperties>
</file>